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FF2" w:rsidRDefault="002B1FF2" w:rsidP="002B1FF2">
      <w:pPr>
        <w:spacing w:line="240" w:lineRule="auto"/>
        <w:rPr>
          <w:rFonts w:ascii="Times New Roman" w:hAnsi="Times New Roman"/>
          <w:b/>
          <w:sz w:val="24"/>
          <w:szCs w:val="24"/>
        </w:rPr>
      </w:pPr>
    </w:p>
    <w:p w:rsidR="002B1FF2" w:rsidRPr="00DB4B65" w:rsidRDefault="002B1FF2" w:rsidP="002B1FF2">
      <w:pPr>
        <w:pStyle w:val="a3"/>
        <w:spacing w:line="240" w:lineRule="auto"/>
        <w:ind w:left="360"/>
        <w:jc w:val="center"/>
        <w:rPr>
          <w:rFonts w:ascii="Times New Roman" w:hAnsi="Times New Roman"/>
          <w:b/>
          <w:sz w:val="28"/>
          <w:szCs w:val="28"/>
        </w:rPr>
      </w:pPr>
      <w:r w:rsidRPr="00DB4B65">
        <w:rPr>
          <w:rFonts w:ascii="Times New Roman" w:hAnsi="Times New Roman"/>
          <w:b/>
          <w:sz w:val="28"/>
          <w:szCs w:val="28"/>
          <w:lang w:val="en-US"/>
        </w:rPr>
        <w:t>MICHAEL GRAVES</w:t>
      </w:r>
    </w:p>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3319"/>
        <w:gridCol w:w="3546"/>
      </w:tblGrid>
      <w:tr w:rsidR="002B1FF2" w:rsidRPr="005515C5" w:rsidTr="00FE2C60">
        <w:tc>
          <w:tcPr>
            <w:tcW w:w="3136" w:type="dxa"/>
          </w:tcPr>
          <w:p w:rsidR="002B1FF2" w:rsidRPr="00F26A91" w:rsidRDefault="002B1FF2" w:rsidP="00FE2C60">
            <w:pPr>
              <w:tabs>
                <w:tab w:val="center" w:pos="1534"/>
              </w:tabs>
              <w:spacing w:after="0" w:line="240" w:lineRule="auto"/>
              <w:rPr>
                <w:rFonts w:ascii="Times New Roman" w:hAnsi="Times New Roman"/>
                <w:sz w:val="28"/>
                <w:szCs w:val="28"/>
                <w:lang w:val="en-US"/>
              </w:rPr>
            </w:pPr>
          </w:p>
          <w:p w:rsidR="002B1FF2" w:rsidRPr="00F26A91" w:rsidRDefault="002B1FF2" w:rsidP="00FE2C60">
            <w:pPr>
              <w:tabs>
                <w:tab w:val="center" w:pos="1534"/>
              </w:tabs>
              <w:spacing w:after="0" w:line="240" w:lineRule="auto"/>
              <w:rPr>
                <w:rFonts w:ascii="Times New Roman" w:hAnsi="Times New Roman"/>
                <w:sz w:val="28"/>
                <w:szCs w:val="28"/>
                <w:lang w:val="en-US"/>
              </w:rPr>
            </w:pPr>
            <w:r w:rsidRPr="00F26A91">
              <w:rPr>
                <w:rFonts w:ascii="Times New Roman" w:hAnsi="Times New Roman"/>
                <w:sz w:val="28"/>
                <w:szCs w:val="28"/>
                <w:lang w:val="en-US"/>
              </w:rPr>
              <w:tab/>
            </w:r>
            <w:r w:rsidRPr="00F26A91">
              <w:rPr>
                <w:rFonts w:ascii="Times New Roman" w:hAnsi="Times New Roman"/>
                <w:noProof/>
                <w:sz w:val="28"/>
                <w:szCs w:val="28"/>
                <w:lang w:eastAsia="ru-RU"/>
              </w:rPr>
              <w:drawing>
                <wp:inline distT="0" distB="0" distL="0" distR="0">
                  <wp:extent cx="1763395" cy="2264410"/>
                  <wp:effectExtent l="0" t="0" r="8255" b="2540"/>
                  <wp:docPr id="18" name="Рисунок 18" descr="D:\магистратура Алена\стилеобразование в нов. арх-ре\M.Graves\M. Graves_Humana Building in Louisville, Kentuc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D:\магистратура Алена\стилеобразование в нов. арх-ре\M.Graves\M. Graves_Humana Building in Louisville, Kentucky.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63395" cy="226441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Humana Building in Louisville, Kentucky</w:t>
            </w:r>
          </w:p>
        </w:tc>
        <w:tc>
          <w:tcPr>
            <w:tcW w:w="3322"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937385" cy="2307590"/>
                  <wp:effectExtent l="0" t="0" r="5715" b="0"/>
                  <wp:docPr id="17" name="Рисунок 17" descr="D:\магистратура Алена\стилеобразование в нов. арх-ре\M.Graves\M.Graves_The Portland Building in Oregon_19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D:\магистратура Алена\стилеобразование в нов. арх-ре\M.Graves\M.Graves_The Portland Building in Oregon_198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7385" cy="230759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The Portland Building in Oregon_1982</w:t>
            </w:r>
          </w:p>
        </w:tc>
        <w:tc>
          <w:tcPr>
            <w:tcW w:w="3535"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2112010" cy="1578610"/>
                  <wp:effectExtent l="0" t="0" r="2540" b="2540"/>
                  <wp:docPr id="16" name="Рисунок 16" descr="D:\магистратура Алена\стилеобразование в нов. арх-ре\M.Graves\M.Graves_The Walt Disney World Dolphin Resort in Orlando, Flor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D:\магистратура Алена\стилеобразование в нов. арх-ре\M.Graves\M.Graves_The Walt Disney World Dolphin Resort in Orlando, Florid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2010" cy="157861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The Walt Disney World Dolphin Resort in Orlando, Florida</w:t>
            </w:r>
          </w:p>
        </w:tc>
      </w:tr>
      <w:tr w:rsidR="002B1FF2" w:rsidRPr="005515C5" w:rsidTr="00FE2C60">
        <w:tc>
          <w:tcPr>
            <w:tcW w:w="3136"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796415" cy="1350010"/>
                  <wp:effectExtent l="0" t="0" r="0" b="2540"/>
                  <wp:docPr id="15" name="Рисунок 15" descr="D:\магистратура Алена\стилеобразование в нов. арх-ре\M.Graves\NCAA Hall of Champions in Indianapolis, India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D:\магистратура Алена\стилеобразование в нов. арх-ре\M.Graves\NCAA Hall of Champions in Indianapolis, Indian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6415" cy="135001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NCAA Hall of Champions in Indianapolis, Indiana.</w:t>
            </w:r>
          </w:p>
          <w:p w:rsidR="002B1FF2" w:rsidRPr="00F26A91" w:rsidRDefault="002B1FF2" w:rsidP="00FE2C60">
            <w:pPr>
              <w:spacing w:after="0" w:line="240" w:lineRule="auto"/>
              <w:rPr>
                <w:rFonts w:ascii="Times New Roman" w:hAnsi="Times New Roman"/>
                <w:sz w:val="28"/>
                <w:szCs w:val="28"/>
                <w:lang w:val="en-US"/>
              </w:rPr>
            </w:pPr>
          </w:p>
        </w:tc>
        <w:tc>
          <w:tcPr>
            <w:tcW w:w="3322"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jc w:val="center"/>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970405" cy="1524000"/>
                  <wp:effectExtent l="0" t="0" r="0" b="0"/>
                  <wp:docPr id="14" name="Рисунок 14" descr="D:\магистратура Алена\стилеобразование в нов. арх-ре\M.Graves\Steigenberger Hotel in El Gouna, Egypt, in association with Ahmed Ham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D:\магистратура Алена\стилеобразование в нов. арх-ре\M.Graves\Steigenberger Hotel in El Gouna, Egypt, in association with Ahmed Hamd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0405" cy="152400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Steigenberger Hotel in El Gouna, Egypt, in association with Ahmed Hamdy</w:t>
            </w:r>
          </w:p>
          <w:p w:rsidR="002B1FF2" w:rsidRPr="00F26A91" w:rsidRDefault="002B1FF2" w:rsidP="00FE2C60">
            <w:pPr>
              <w:spacing w:after="0" w:line="240" w:lineRule="auto"/>
              <w:jc w:val="right"/>
              <w:rPr>
                <w:rFonts w:ascii="Times New Roman" w:hAnsi="Times New Roman"/>
                <w:sz w:val="28"/>
                <w:szCs w:val="28"/>
                <w:lang w:val="en-US"/>
              </w:rPr>
            </w:pPr>
          </w:p>
        </w:tc>
        <w:tc>
          <w:tcPr>
            <w:tcW w:w="3535"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905000" cy="1513205"/>
                  <wp:effectExtent l="0" t="0" r="0" b="0"/>
                  <wp:docPr id="13" name="Рисунок 13" descr="D:\магистратура Алена\стилеобразование в нов. арх-ре\M.Graves\The International Finance Corporation Building in Washington, 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D:\магистратура Алена\стилеобразование в нов. арх-ре\M.Graves\The International Finance Corporation Building in Washington, D.C..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0" cy="151320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The International Finance Corporation Building in Washington, D.C.</w:t>
            </w:r>
          </w:p>
        </w:tc>
      </w:tr>
    </w:tbl>
    <w:p w:rsidR="002B1FF2" w:rsidRPr="002B1FF2" w:rsidRDefault="002B1FF2" w:rsidP="002B1FF2">
      <w:pPr>
        <w:rPr>
          <w:rFonts w:ascii="Times New Roman" w:hAnsi="Times New Roman"/>
          <w:sz w:val="28"/>
          <w:szCs w:val="28"/>
          <w:lang w:val="en-US"/>
        </w:rPr>
      </w:pPr>
    </w:p>
    <w:p w:rsidR="002B1FF2" w:rsidRPr="007A354B" w:rsidRDefault="002B1FF2" w:rsidP="002B1FF2">
      <w:pPr>
        <w:rPr>
          <w:lang w:val="en-US"/>
        </w:rPr>
      </w:pPr>
      <w:r w:rsidRPr="00933B3C">
        <w:rPr>
          <w:rFonts w:ascii="Times New Roman" w:hAnsi="Times New Roman"/>
          <w:sz w:val="28"/>
          <w:szCs w:val="28"/>
          <w:lang w:val="en-US"/>
        </w:rPr>
        <w:t>Graves and his firm have earned critical acclaim for a wide variety of commercial and residential buildings and interior design, although some occupants of the buildings object to the confined views caused by signature features such as small or circular windows and squat columns.</w:t>
      </w:r>
    </w:p>
    <w:p w:rsidR="002B1FF2" w:rsidRPr="002B1FF2" w:rsidRDefault="002B1FF2" w:rsidP="002B1FF2">
      <w:pPr>
        <w:rPr>
          <w:lang w:val="en-US"/>
        </w:rPr>
      </w:pPr>
    </w:p>
    <w:p w:rsidR="002B1FF2" w:rsidRPr="002B1FF2" w:rsidRDefault="002B1FF2" w:rsidP="002B1FF2">
      <w:pPr>
        <w:rPr>
          <w:lang w:val="en-US"/>
        </w:rPr>
      </w:pPr>
    </w:p>
    <w:p w:rsidR="002B1FF2" w:rsidRPr="002B1FF2" w:rsidRDefault="002B1FF2" w:rsidP="002B1FF2">
      <w:pPr>
        <w:rPr>
          <w:lang w:val="en-US"/>
        </w:rPr>
      </w:pPr>
    </w:p>
    <w:p w:rsidR="002B1FF2" w:rsidRPr="00DB4B65" w:rsidRDefault="002B1FF2" w:rsidP="002B1FF2">
      <w:pPr>
        <w:spacing w:after="0" w:line="240" w:lineRule="auto"/>
        <w:ind w:firstLine="567"/>
        <w:jc w:val="center"/>
        <w:rPr>
          <w:rFonts w:ascii="Times New Roman" w:hAnsi="Times New Roman"/>
          <w:sz w:val="32"/>
          <w:szCs w:val="32"/>
          <w:lang w:val="en-US"/>
        </w:rPr>
      </w:pPr>
      <w:r w:rsidRPr="00DB4B65">
        <w:rPr>
          <w:rFonts w:ascii="Times New Roman" w:hAnsi="Times New Roman"/>
          <w:sz w:val="32"/>
          <w:szCs w:val="32"/>
          <w:lang w:val="en-US"/>
        </w:rPr>
        <w:lastRenderedPageBreak/>
        <w:t>Robert A.M. Stern</w:t>
      </w:r>
    </w:p>
    <w:p w:rsidR="002B1FF2" w:rsidRPr="00C84D52" w:rsidRDefault="002B1FF2" w:rsidP="002B1FF2">
      <w:pPr>
        <w:spacing w:after="0" w:line="240" w:lineRule="auto"/>
        <w:ind w:firstLine="567"/>
        <w:jc w:val="right"/>
        <w:rPr>
          <w:rFonts w:ascii="Times New Roman" w:hAnsi="Times New Roman"/>
          <w:sz w:val="24"/>
          <w:szCs w:val="24"/>
          <w:lang w:val="en-US"/>
        </w:rPr>
      </w:pPr>
    </w:p>
    <w:tbl>
      <w:tblPr>
        <w:tblW w:w="1062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0"/>
        <w:gridCol w:w="3420"/>
        <w:gridCol w:w="3420"/>
      </w:tblGrid>
      <w:tr w:rsidR="002B1FF2" w:rsidRPr="00F26A91" w:rsidTr="00FE2C60">
        <w:tc>
          <w:tcPr>
            <w:tcW w:w="3780"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2253615" cy="1731010"/>
                  <wp:effectExtent l="0" t="0" r="0" b="2540"/>
                  <wp:docPr id="12" name="Рисунок 12" descr="File:WeillH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File:WeillHal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53615" cy="1731010"/>
                          </a:xfrm>
                          <a:prstGeom prst="rect">
                            <a:avLst/>
                          </a:prstGeom>
                          <a:noFill/>
                          <a:ln>
                            <a:noFill/>
                          </a:ln>
                        </pic:spPr>
                      </pic:pic>
                    </a:graphicData>
                  </a:graphic>
                </wp:inline>
              </w:drawing>
            </w:r>
            <w:r w:rsidRPr="00F26A91">
              <w:rPr>
                <w:rFonts w:ascii="Times New Roman" w:hAnsi="Times New Roman"/>
                <w:sz w:val="28"/>
                <w:szCs w:val="28"/>
                <w:lang w:val="en-US"/>
              </w:rPr>
              <w:t>Gerald R. Ford School of Public Policy</w:t>
            </w:r>
          </w:p>
        </w:tc>
        <w:tc>
          <w:tcPr>
            <w:tcW w:w="3420"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991995" cy="1229995"/>
                  <wp:effectExtent l="0" t="0" r="8255" b="8255"/>
                  <wp:docPr id="11" name="Рисунок 11" descr="File:FIULawR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File:FIULawRDB.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91995" cy="1229995"/>
                          </a:xfrm>
                          <a:prstGeom prst="rect">
                            <a:avLst/>
                          </a:prstGeom>
                          <a:noFill/>
                          <a:ln>
                            <a:noFill/>
                          </a:ln>
                        </pic:spPr>
                      </pic:pic>
                    </a:graphicData>
                  </a:graphic>
                </wp:inline>
              </w:drawing>
            </w:r>
          </w:p>
          <w:p w:rsidR="002B1FF2" w:rsidRPr="00DB4B65" w:rsidRDefault="002B1FF2" w:rsidP="00FE2C60">
            <w:pPr>
              <w:spacing w:after="0" w:line="240" w:lineRule="auto"/>
              <w:rPr>
                <w:rFonts w:ascii="Times New Roman" w:hAnsi="Times New Roman"/>
                <w:sz w:val="28"/>
                <w:szCs w:val="28"/>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Rafael Diaz-Balart Hall, home of the FIU College of Law in Miami, Florida.</w:t>
            </w:r>
          </w:p>
        </w:tc>
        <w:tc>
          <w:tcPr>
            <w:tcW w:w="3420"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991995" cy="1263015"/>
                  <wp:effectExtent l="0" t="0" r="8255" b="0"/>
                  <wp:docPr id="10" name="Рисунок 10" descr="File:Rockwell muse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File:Rockwell museu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91995" cy="126301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 xml:space="preserve">Norman Rockwell Museum. </w:t>
            </w:r>
          </w:p>
        </w:tc>
      </w:tr>
      <w:tr w:rsidR="002B1FF2" w:rsidRPr="005515C5" w:rsidTr="00FE2C60">
        <w:tc>
          <w:tcPr>
            <w:tcW w:w="3780"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2231390" cy="1665605"/>
                  <wp:effectExtent l="0" t="0" r="0" b="0"/>
                  <wp:docPr id="9" name="Рисунок 9" descr="File:BoardwalkI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File:BoardwalkIn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31390" cy="166560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Disney's BoardWalk Resort</w:t>
            </w: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Hotel and entertainment complex at the Walt Disney World Resort</w:t>
            </w:r>
          </w:p>
        </w:tc>
        <w:tc>
          <w:tcPr>
            <w:tcW w:w="3420"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991995" cy="1327785"/>
                  <wp:effectExtent l="0" t="0" r="8255" b="5715"/>
                  <wp:docPr id="8" name="Рисунок 8" descr="File:Disney Hotel Newport B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descr="File:Disney Hotel Newport Bay.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1995" cy="132778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Disney's Newport Bay Club</w:t>
            </w:r>
          </w:p>
        </w:tc>
        <w:tc>
          <w:tcPr>
            <w:tcW w:w="3420"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991995" cy="1382395"/>
                  <wp:effectExtent l="0" t="0" r="8255" b="8255"/>
                  <wp:docPr id="7" name="Рисунок 7" descr="http://upload.wikimedia.org/wikipedia/commons/8/80/HoustonTX_Hobby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upload.wikimedia.org/wikipedia/commons/8/80/HoustonTX_HobbyCente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91995" cy="138239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ind w:right="894"/>
              <w:rPr>
                <w:rFonts w:ascii="Times New Roman" w:hAnsi="Times New Roman"/>
                <w:sz w:val="28"/>
                <w:szCs w:val="28"/>
                <w:lang w:val="en-US"/>
              </w:rPr>
            </w:pPr>
            <w:r w:rsidRPr="00F26A91">
              <w:rPr>
                <w:rFonts w:ascii="Times New Roman" w:hAnsi="Times New Roman"/>
                <w:sz w:val="28"/>
                <w:szCs w:val="28"/>
                <w:lang w:val="en-US"/>
              </w:rPr>
              <w:t>Hobby Center for the Performing Arts</w:t>
            </w:r>
          </w:p>
        </w:tc>
      </w:tr>
    </w:tbl>
    <w:p w:rsidR="002B1FF2" w:rsidRPr="002B1FF2" w:rsidRDefault="002B1FF2" w:rsidP="002B1FF2">
      <w:pPr>
        <w:rPr>
          <w:lang w:val="en-US"/>
        </w:rPr>
      </w:pPr>
    </w:p>
    <w:p w:rsidR="002B1FF2" w:rsidRDefault="002B1FF2" w:rsidP="002B1FF2">
      <w:pPr>
        <w:rPr>
          <w:rFonts w:ascii="Times New Roman" w:hAnsi="Times New Roman"/>
          <w:sz w:val="28"/>
          <w:szCs w:val="28"/>
          <w:lang w:val="en-US"/>
        </w:rPr>
      </w:pPr>
      <w:r w:rsidRPr="00E422AB">
        <w:rPr>
          <w:rFonts w:ascii="Times New Roman" w:hAnsi="Times New Roman"/>
          <w:sz w:val="28"/>
          <w:szCs w:val="28"/>
          <w:lang w:val="en-US"/>
        </w:rPr>
        <w:t xml:space="preserve">Robert A.M. Stern is a practicing </w:t>
      </w:r>
      <w:r>
        <w:rPr>
          <w:rFonts w:ascii="Times New Roman" w:hAnsi="Times New Roman"/>
          <w:sz w:val="28"/>
          <w:szCs w:val="28"/>
          <w:lang w:val="en-US"/>
        </w:rPr>
        <w:t xml:space="preserve">American </w:t>
      </w:r>
      <w:r w:rsidRPr="00E422AB">
        <w:rPr>
          <w:rFonts w:ascii="Times New Roman" w:hAnsi="Times New Roman"/>
          <w:sz w:val="28"/>
          <w:szCs w:val="28"/>
          <w:lang w:val="en-US"/>
        </w:rPr>
        <w:t>architect, teacher, and writer. He is a Fellow of the American Institute of Architects</w:t>
      </w:r>
      <w:r w:rsidRPr="0028594F">
        <w:rPr>
          <w:rFonts w:ascii="Times New Roman" w:hAnsi="Times New Roman"/>
          <w:sz w:val="28"/>
          <w:szCs w:val="28"/>
          <w:lang w:val="en-US"/>
        </w:rPr>
        <w:t xml:space="preserve">. </w:t>
      </w:r>
      <w:r>
        <w:rPr>
          <w:rFonts w:ascii="Times New Roman" w:hAnsi="Times New Roman"/>
          <w:sz w:val="28"/>
          <w:szCs w:val="28"/>
          <w:lang w:val="en-US"/>
        </w:rPr>
        <w:t>H</w:t>
      </w:r>
      <w:r w:rsidRPr="00E422AB">
        <w:rPr>
          <w:rFonts w:ascii="Times New Roman" w:hAnsi="Times New Roman"/>
          <w:sz w:val="28"/>
          <w:szCs w:val="28"/>
          <w:lang w:val="en-US"/>
        </w:rPr>
        <w:t xml:space="preserve">e personally directs the design </w:t>
      </w:r>
      <w:r>
        <w:rPr>
          <w:rFonts w:ascii="Times New Roman" w:hAnsi="Times New Roman"/>
          <w:sz w:val="28"/>
          <w:szCs w:val="28"/>
          <w:lang w:val="en-US"/>
        </w:rPr>
        <w:t xml:space="preserve">of each of the firm's projects. </w:t>
      </w:r>
      <w:r w:rsidRPr="00E422AB">
        <w:rPr>
          <w:rFonts w:ascii="Times New Roman" w:hAnsi="Times New Roman"/>
          <w:sz w:val="28"/>
          <w:szCs w:val="28"/>
          <w:lang w:val="en-US"/>
        </w:rPr>
        <w:t>He was previously Professor of Architecture and Director of the Historic Preservation</w:t>
      </w:r>
      <w:r w:rsidRPr="00CB1E25">
        <w:rPr>
          <w:rFonts w:ascii="Times New Roman" w:hAnsi="Times New Roman"/>
          <w:sz w:val="28"/>
          <w:szCs w:val="28"/>
          <w:lang w:val="en-US"/>
        </w:rPr>
        <w:t xml:space="preserve"> (</w:t>
      </w:r>
      <w:r>
        <w:rPr>
          <w:rFonts w:ascii="Times New Roman" w:hAnsi="Times New Roman"/>
          <w:sz w:val="28"/>
          <w:szCs w:val="28"/>
        </w:rPr>
        <w:t>наследия</w:t>
      </w:r>
      <w:r w:rsidRPr="00CB1E25">
        <w:rPr>
          <w:rFonts w:ascii="Times New Roman" w:hAnsi="Times New Roman"/>
          <w:sz w:val="28"/>
          <w:szCs w:val="28"/>
          <w:lang w:val="en-US"/>
        </w:rPr>
        <w:t>)</w:t>
      </w:r>
      <w:r w:rsidRPr="00E422AB">
        <w:rPr>
          <w:rFonts w:ascii="Times New Roman" w:hAnsi="Times New Roman"/>
          <w:sz w:val="28"/>
          <w:szCs w:val="28"/>
          <w:lang w:val="en-US"/>
        </w:rPr>
        <w:t xml:space="preserve"> Program at the Graduate School of Architecture, Planning, and Preservation</w:t>
      </w:r>
      <w:r>
        <w:rPr>
          <w:rFonts w:ascii="Times New Roman" w:hAnsi="Times New Roman"/>
          <w:sz w:val="28"/>
          <w:szCs w:val="28"/>
          <w:lang w:val="en-US"/>
        </w:rPr>
        <w:t xml:space="preserve"> </w:t>
      </w:r>
      <w:r w:rsidRPr="0045700C">
        <w:rPr>
          <w:rFonts w:ascii="Times New Roman" w:hAnsi="Times New Roman"/>
          <w:sz w:val="28"/>
          <w:szCs w:val="28"/>
          <w:lang w:val="en-US"/>
        </w:rPr>
        <w:t>(</w:t>
      </w:r>
      <w:r>
        <w:rPr>
          <w:rFonts w:ascii="Times New Roman" w:hAnsi="Times New Roman"/>
          <w:sz w:val="28"/>
          <w:szCs w:val="28"/>
        </w:rPr>
        <w:t>консерватором</w:t>
      </w:r>
      <w:r w:rsidRPr="00CB1E25">
        <w:rPr>
          <w:rFonts w:ascii="Times New Roman" w:hAnsi="Times New Roman"/>
          <w:sz w:val="28"/>
          <w:szCs w:val="28"/>
          <w:lang w:val="en-US"/>
        </w:rPr>
        <w:t xml:space="preserve"> </w:t>
      </w:r>
      <w:r>
        <w:rPr>
          <w:rFonts w:ascii="Times New Roman" w:hAnsi="Times New Roman"/>
          <w:sz w:val="28"/>
          <w:szCs w:val="28"/>
        </w:rPr>
        <w:t>и</w:t>
      </w:r>
      <w:r w:rsidRPr="00CB1E25">
        <w:rPr>
          <w:rFonts w:ascii="Times New Roman" w:hAnsi="Times New Roman"/>
          <w:sz w:val="28"/>
          <w:szCs w:val="28"/>
          <w:lang w:val="en-US"/>
        </w:rPr>
        <w:t xml:space="preserve"> </w:t>
      </w:r>
      <w:r>
        <w:rPr>
          <w:rFonts w:ascii="Times New Roman" w:hAnsi="Times New Roman"/>
          <w:sz w:val="28"/>
          <w:szCs w:val="28"/>
        </w:rPr>
        <w:t>хранителем</w:t>
      </w:r>
      <w:r w:rsidRPr="0045700C">
        <w:rPr>
          <w:rFonts w:ascii="Times New Roman" w:hAnsi="Times New Roman"/>
          <w:sz w:val="28"/>
          <w:szCs w:val="28"/>
          <w:lang w:val="en-US"/>
        </w:rPr>
        <w:t>)</w:t>
      </w:r>
      <w:r w:rsidRPr="00E422AB">
        <w:rPr>
          <w:rFonts w:ascii="Times New Roman" w:hAnsi="Times New Roman"/>
          <w:sz w:val="28"/>
          <w:szCs w:val="28"/>
          <w:lang w:val="en-US"/>
        </w:rPr>
        <w:t xml:space="preserve"> at Columbia University.</w:t>
      </w:r>
    </w:p>
    <w:p w:rsidR="002B1FF2" w:rsidRPr="0028594F" w:rsidRDefault="002B1FF2" w:rsidP="002B1FF2">
      <w:pPr>
        <w:rPr>
          <w:rFonts w:ascii="Times New Roman" w:hAnsi="Times New Roman"/>
          <w:sz w:val="28"/>
          <w:szCs w:val="28"/>
          <w:lang w:val="en-US"/>
        </w:rPr>
      </w:pPr>
      <w:r w:rsidRPr="00E422AB">
        <w:rPr>
          <w:rFonts w:ascii="Times New Roman" w:hAnsi="Times New Roman"/>
          <w:sz w:val="28"/>
          <w:szCs w:val="28"/>
          <w:lang w:val="en-US"/>
        </w:rPr>
        <w:t>Mr. Stern</w:t>
      </w:r>
      <w:r>
        <w:rPr>
          <w:rFonts w:ascii="Times New Roman" w:hAnsi="Times New Roman"/>
          <w:sz w:val="28"/>
          <w:szCs w:val="28"/>
          <w:lang w:val="en-US"/>
        </w:rPr>
        <w:t xml:space="preserve"> </w:t>
      </w:r>
      <w:r w:rsidRPr="00E422AB">
        <w:rPr>
          <w:rFonts w:ascii="Times New Roman" w:hAnsi="Times New Roman"/>
          <w:sz w:val="28"/>
          <w:szCs w:val="28"/>
          <w:lang w:val="en-US"/>
        </w:rPr>
        <w:t>was</w:t>
      </w:r>
      <w:r>
        <w:rPr>
          <w:rFonts w:ascii="Times New Roman" w:hAnsi="Times New Roman"/>
          <w:sz w:val="28"/>
          <w:szCs w:val="28"/>
          <w:lang w:val="en-US"/>
        </w:rPr>
        <w:t xml:space="preserve"> representative of </w:t>
      </w:r>
      <w:r w:rsidRPr="00E422AB">
        <w:rPr>
          <w:rFonts w:ascii="Times New Roman" w:hAnsi="Times New Roman"/>
          <w:sz w:val="28"/>
          <w:szCs w:val="28"/>
          <w:lang w:val="en-US"/>
        </w:rPr>
        <w:t>Modern Classicism</w:t>
      </w:r>
      <w:r w:rsidRPr="00CB1E25">
        <w:rPr>
          <w:rFonts w:ascii="Times New Roman" w:hAnsi="Times New Roman"/>
          <w:sz w:val="28"/>
          <w:szCs w:val="28"/>
          <w:lang w:val="en-US"/>
        </w:rPr>
        <w:t xml:space="preserve"> </w:t>
      </w:r>
      <w:r w:rsidRPr="00E422AB">
        <w:rPr>
          <w:rFonts w:ascii="Times New Roman" w:hAnsi="Times New Roman"/>
          <w:sz w:val="28"/>
          <w:szCs w:val="28"/>
          <w:lang w:val="en-US"/>
        </w:rPr>
        <w:t>direct</w:t>
      </w:r>
      <w:r>
        <w:rPr>
          <w:rFonts w:ascii="Times New Roman" w:hAnsi="Times New Roman"/>
          <w:sz w:val="28"/>
          <w:szCs w:val="28"/>
          <w:lang w:val="en-US"/>
        </w:rPr>
        <w:t>ion</w:t>
      </w:r>
      <w:r w:rsidRPr="00E422AB">
        <w:rPr>
          <w:rFonts w:ascii="Times New Roman" w:hAnsi="Times New Roman"/>
          <w:sz w:val="28"/>
          <w:szCs w:val="28"/>
          <w:lang w:val="en-US"/>
        </w:rPr>
        <w:t xml:space="preserve"> the design</w:t>
      </w:r>
      <w:r>
        <w:rPr>
          <w:rFonts w:ascii="Times New Roman" w:hAnsi="Times New Roman"/>
          <w:sz w:val="28"/>
          <w:szCs w:val="28"/>
          <w:lang w:val="en-US"/>
        </w:rPr>
        <w:t xml:space="preserve"> of projects.</w:t>
      </w:r>
    </w:p>
    <w:p w:rsidR="002B1FF2" w:rsidRDefault="002B1FF2" w:rsidP="002B1FF2">
      <w:pPr>
        <w:rPr>
          <w:rFonts w:ascii="Times New Roman" w:hAnsi="Times New Roman"/>
          <w:sz w:val="28"/>
          <w:szCs w:val="28"/>
          <w:lang w:val="en-US"/>
        </w:rPr>
      </w:pPr>
      <w:r w:rsidRPr="00E422AB">
        <w:rPr>
          <w:rFonts w:ascii="Times New Roman" w:hAnsi="Times New Roman"/>
          <w:sz w:val="28"/>
          <w:szCs w:val="28"/>
          <w:lang w:val="en-US"/>
        </w:rPr>
        <w:t>Mr. Stern's work has been exhibited at numerous galleries and universities and is in the permanent collections of the Museum of Modern Art</w:t>
      </w:r>
      <w:r w:rsidRPr="0028594F">
        <w:rPr>
          <w:rFonts w:ascii="Times New Roman" w:hAnsi="Times New Roman"/>
          <w:sz w:val="28"/>
          <w:szCs w:val="28"/>
          <w:lang w:val="en-US"/>
        </w:rPr>
        <w:t>.</w:t>
      </w:r>
    </w:p>
    <w:p w:rsidR="002B1FF2" w:rsidRDefault="002B1FF2" w:rsidP="002B1FF2">
      <w:pPr>
        <w:rPr>
          <w:rFonts w:ascii="Times New Roman" w:hAnsi="Times New Roman"/>
          <w:sz w:val="28"/>
          <w:szCs w:val="28"/>
          <w:lang w:val="en-US"/>
        </w:rPr>
      </w:pPr>
    </w:p>
    <w:p w:rsidR="002B1FF2" w:rsidRDefault="002B1FF2" w:rsidP="002B1FF2">
      <w:pPr>
        <w:rPr>
          <w:rFonts w:ascii="Times New Roman" w:hAnsi="Times New Roman"/>
          <w:sz w:val="28"/>
          <w:szCs w:val="28"/>
          <w:lang w:val="en-US"/>
        </w:rPr>
      </w:pPr>
    </w:p>
    <w:p w:rsidR="002B1FF2" w:rsidRPr="00747A72" w:rsidRDefault="002B1FF2" w:rsidP="002B1FF2">
      <w:pPr>
        <w:spacing w:line="240" w:lineRule="auto"/>
        <w:jc w:val="center"/>
        <w:rPr>
          <w:rFonts w:ascii="Times New Roman" w:hAnsi="Times New Roman"/>
          <w:b/>
          <w:sz w:val="32"/>
          <w:szCs w:val="32"/>
          <w:lang w:val="en-US"/>
        </w:rPr>
      </w:pPr>
      <w:r w:rsidRPr="00747A72">
        <w:rPr>
          <w:rFonts w:ascii="Times New Roman" w:hAnsi="Times New Roman"/>
          <w:b/>
          <w:sz w:val="32"/>
          <w:szCs w:val="32"/>
          <w:lang w:val="en-US"/>
        </w:rPr>
        <w:lastRenderedPageBreak/>
        <w:t>Philip Cortelyou Johnson</w:t>
      </w:r>
    </w:p>
    <w:tbl>
      <w:tblPr>
        <w:tblW w:w="100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5"/>
        <w:gridCol w:w="3490"/>
        <w:gridCol w:w="3165"/>
      </w:tblGrid>
      <w:tr w:rsidR="002B1FF2" w:rsidRPr="005515C5" w:rsidTr="00FE2C60">
        <w:tc>
          <w:tcPr>
            <w:tcW w:w="3418"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872615" cy="1251585"/>
                  <wp:effectExtent l="0" t="0" r="0" b="5715"/>
                  <wp:docPr id="6" name="Рисунок 6" descr="File:Chapel.st.basil.n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File:Chapel.st.basil.night.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72615" cy="125158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Chapel of St. Basil on the Academic Mall at the University of St. Thomas in Houston, Texas.</w:t>
            </w:r>
          </w:p>
        </w:tc>
        <w:tc>
          <w:tcPr>
            <w:tcW w:w="3489"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2078990" cy="1556385"/>
                  <wp:effectExtent l="0" t="0" r="0" b="5715"/>
                  <wp:docPr id="5" name="Рисунок 5" descr="File:Plaza de Castilla (Madrid) 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descr="File:Plaza de Castilla (Madrid) 0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78990" cy="155638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Puerta de Europa in Madrid</w:t>
            </w:r>
          </w:p>
        </w:tc>
        <w:tc>
          <w:tcPr>
            <w:tcW w:w="3163"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828800" cy="1371600"/>
                  <wp:effectExtent l="0" t="0" r="0" b="0"/>
                  <wp:docPr id="4" name="Рисунок 4" descr="File:MOMA Johnson Glass Hou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File:MOMA Johnson Glass House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0" cy="137160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A model of the Glass House on display at the Museum of Modern Art in New York City</w:t>
            </w:r>
          </w:p>
        </w:tc>
      </w:tr>
      <w:tr w:rsidR="002B1FF2" w:rsidRPr="005515C5" w:rsidTr="00FE2C60">
        <w:tc>
          <w:tcPr>
            <w:tcW w:w="3418"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807210" cy="2416810"/>
                  <wp:effectExtent l="0" t="0" r="2540" b="2540"/>
                  <wp:docPr id="3" name="Рисунок 3" descr="File:Sony Building by David Shankb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File:Sony Building by David Shankbone.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07210" cy="2416810"/>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The postmodern AT&amp;T Building, now the Sony Building</w:t>
            </w:r>
          </w:p>
        </w:tc>
        <w:tc>
          <w:tcPr>
            <w:tcW w:w="3489"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818005" cy="2427605"/>
                  <wp:effectExtent l="0" t="0" r="0" b="0"/>
                  <wp:docPr id="2" name="Рисунок 2" descr="File:Pittsburgh-pennsylvania-ppg-place-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File:Pittsburgh-pennsylvania-ppg-place-2007.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18005" cy="242760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PPG Place in Pittsburgh, Pennsylvania, in 2007.</w:t>
            </w:r>
          </w:p>
        </w:tc>
        <w:tc>
          <w:tcPr>
            <w:tcW w:w="3163" w:type="dxa"/>
          </w:tcPr>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noProof/>
                <w:lang w:eastAsia="ru-RU"/>
              </w:rPr>
              <w:drawing>
                <wp:inline distT="0" distB="0" distL="0" distR="0">
                  <wp:extent cx="1872615" cy="1403985"/>
                  <wp:effectExtent l="0" t="0" r="0" b="5715"/>
                  <wp:docPr id="1" name="Рисунок 1" descr="File:Crys-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File:Crys-ex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72615" cy="1403985"/>
                          </a:xfrm>
                          <a:prstGeom prst="rect">
                            <a:avLst/>
                          </a:prstGeom>
                          <a:noFill/>
                          <a:ln>
                            <a:noFill/>
                          </a:ln>
                        </pic:spPr>
                      </pic:pic>
                    </a:graphicData>
                  </a:graphic>
                </wp:inline>
              </w:drawing>
            </w:r>
          </w:p>
          <w:p w:rsidR="002B1FF2" w:rsidRPr="00F26A91" w:rsidRDefault="002B1FF2" w:rsidP="00FE2C60">
            <w:pPr>
              <w:spacing w:after="0" w:line="240" w:lineRule="auto"/>
              <w:rPr>
                <w:rFonts w:ascii="Times New Roman" w:hAnsi="Times New Roman"/>
                <w:sz w:val="28"/>
                <w:szCs w:val="28"/>
                <w:lang w:val="en-US"/>
              </w:rPr>
            </w:pPr>
          </w:p>
          <w:p w:rsidR="002B1FF2" w:rsidRPr="00F26A91" w:rsidRDefault="002B1FF2" w:rsidP="00FE2C60">
            <w:pPr>
              <w:spacing w:after="0" w:line="240" w:lineRule="auto"/>
              <w:rPr>
                <w:rFonts w:ascii="Times New Roman" w:hAnsi="Times New Roman"/>
                <w:sz w:val="28"/>
                <w:szCs w:val="28"/>
                <w:lang w:val="en-US"/>
              </w:rPr>
            </w:pPr>
            <w:r w:rsidRPr="00F26A91">
              <w:rPr>
                <w:rFonts w:ascii="Times New Roman" w:hAnsi="Times New Roman"/>
                <w:sz w:val="28"/>
                <w:szCs w:val="28"/>
                <w:lang w:val="en-US"/>
              </w:rPr>
              <w:t>The Crystal Cathedral, Garden Grove, California in 2007.</w:t>
            </w:r>
          </w:p>
        </w:tc>
      </w:tr>
    </w:tbl>
    <w:p w:rsidR="002B1FF2" w:rsidRDefault="002B1FF2" w:rsidP="002B1FF2">
      <w:pPr>
        <w:rPr>
          <w:rFonts w:ascii="Times New Roman" w:hAnsi="Times New Roman"/>
          <w:sz w:val="28"/>
          <w:szCs w:val="28"/>
          <w:lang w:val="en-US"/>
        </w:rPr>
      </w:pPr>
      <w:r>
        <w:rPr>
          <w:rFonts w:ascii="Times New Roman" w:hAnsi="Times New Roman"/>
          <w:sz w:val="28"/>
          <w:szCs w:val="28"/>
          <w:lang w:val="en-US"/>
        </w:rPr>
        <w:t>H</w:t>
      </w:r>
      <w:r w:rsidRPr="0080517A">
        <w:rPr>
          <w:rFonts w:ascii="Times New Roman" w:hAnsi="Times New Roman"/>
          <w:sz w:val="28"/>
          <w:szCs w:val="28"/>
          <w:lang w:val="en-US"/>
        </w:rPr>
        <w:t>e focused on history and philosophy, particularly the work of the Pre-Socratic philosophers.</w:t>
      </w:r>
      <w:r>
        <w:rPr>
          <w:rFonts w:ascii="Times New Roman" w:hAnsi="Times New Roman"/>
          <w:sz w:val="28"/>
          <w:szCs w:val="28"/>
          <w:lang w:val="en-US"/>
        </w:rPr>
        <w:t xml:space="preserve"> </w:t>
      </w:r>
    </w:p>
    <w:p w:rsidR="00C74D9A" w:rsidRPr="002B1FF2" w:rsidRDefault="002B1FF2">
      <w:pPr>
        <w:rPr>
          <w:lang w:val="en-US"/>
        </w:rPr>
      </w:pPr>
      <w:r w:rsidRPr="0080517A">
        <w:rPr>
          <w:rFonts w:ascii="Times New Roman" w:hAnsi="Times New Roman"/>
          <w:sz w:val="28"/>
          <w:szCs w:val="28"/>
          <w:lang w:val="en-US"/>
        </w:rPr>
        <w:t>Johnson returned from Germany as a proselytizer for the new architecture. Touring Europe more comprehensively with his friends Alfred H. Barr, Henry- Hitchcock to examine firsthand recent trends in architecture, the assembled their discoveries as the landmark show "The Int</w:t>
      </w:r>
      <w:r>
        <w:rPr>
          <w:rFonts w:ascii="Times New Roman" w:hAnsi="Times New Roman"/>
          <w:sz w:val="28"/>
          <w:szCs w:val="28"/>
          <w:lang w:val="en-US"/>
        </w:rPr>
        <w:t>ernational Style</w:t>
      </w:r>
      <w:r w:rsidRPr="0080517A">
        <w:rPr>
          <w:rFonts w:ascii="Times New Roman" w:hAnsi="Times New Roman"/>
          <w:sz w:val="28"/>
          <w:szCs w:val="28"/>
          <w:lang w:val="en-US"/>
        </w:rPr>
        <w:t xml:space="preserve"> " at the Museum of Modern Art, in 1932. The show was profoundly influential and is seen as the introduction of modern architecture to the American public.</w:t>
      </w:r>
      <w:r>
        <w:rPr>
          <w:rFonts w:ascii="Times New Roman" w:hAnsi="Times New Roman"/>
          <w:sz w:val="28"/>
          <w:szCs w:val="28"/>
          <w:lang w:val="en-US"/>
        </w:rPr>
        <w:t xml:space="preserve">  </w:t>
      </w:r>
      <w:r w:rsidRPr="0080517A">
        <w:rPr>
          <w:rFonts w:ascii="Times New Roman" w:hAnsi="Times New Roman"/>
          <w:sz w:val="28"/>
          <w:szCs w:val="28"/>
          <w:lang w:val="en-US"/>
        </w:rPr>
        <w:t>Johnson's early influence as a practicing architect was his use of glass; his masterpiece was the Glass House</w:t>
      </w:r>
      <w:r w:rsidRPr="00955DC1">
        <w:rPr>
          <w:rFonts w:ascii="Times New Roman" w:hAnsi="Times New Roman"/>
          <w:sz w:val="28"/>
          <w:szCs w:val="28"/>
          <w:lang w:val="en-US"/>
        </w:rPr>
        <w:t xml:space="preserve">.   </w:t>
      </w:r>
      <w:r w:rsidRPr="0080517A">
        <w:rPr>
          <w:rFonts w:ascii="Times New Roman" w:hAnsi="Times New Roman"/>
          <w:sz w:val="28"/>
          <w:szCs w:val="28"/>
          <w:lang w:val="en-US"/>
        </w:rPr>
        <w:t>Johnson</w:t>
      </w:r>
      <w:r w:rsidRPr="007F7299">
        <w:rPr>
          <w:rFonts w:ascii="Times New Roman" w:hAnsi="Times New Roman"/>
          <w:sz w:val="28"/>
          <w:szCs w:val="28"/>
          <w:lang w:val="en-US"/>
        </w:rPr>
        <w:t xml:space="preserve"> defied every precept of the modernist aesthetic: historical pattern had been effectively outlawed among architects</w:t>
      </w:r>
      <w:r w:rsidRPr="00955DC1">
        <w:rPr>
          <w:rFonts w:ascii="Times New Roman" w:hAnsi="Times New Roman"/>
          <w:sz w:val="28"/>
          <w:szCs w:val="28"/>
          <w:lang w:val="en-US"/>
        </w:rPr>
        <w:t xml:space="preserve">. </w:t>
      </w:r>
      <w:r w:rsidRPr="007F7299">
        <w:rPr>
          <w:rFonts w:ascii="Times New Roman" w:hAnsi="Times New Roman"/>
          <w:sz w:val="28"/>
          <w:szCs w:val="28"/>
          <w:lang w:val="en-US"/>
        </w:rPr>
        <w:t>Building as the first Postmodernist statement, necessary in the context of modernism's aesthetic cul-de-sac.</w:t>
      </w:r>
      <w:bookmarkStart w:id="0" w:name="_GoBack"/>
      <w:bookmarkEnd w:id="0"/>
      <w:r w:rsidRPr="002B1FF2">
        <w:rPr>
          <w:lang w:val="en-US"/>
        </w:rPr>
        <w:t xml:space="preserve"> </w:t>
      </w:r>
    </w:p>
    <w:sectPr w:rsidR="00C74D9A" w:rsidRPr="002B1F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238"/>
    <w:rsid w:val="002B1FF2"/>
    <w:rsid w:val="00C74D9A"/>
    <w:rsid w:val="00CC02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94E228-4893-421F-987B-562959694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FF2"/>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2B1F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2020-12-20T07:29:00Z</dcterms:created>
  <dcterms:modified xsi:type="dcterms:W3CDTF">2020-12-20T07:32:00Z</dcterms:modified>
</cp:coreProperties>
</file>